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ZNJC/2025-0068B0503</w:t>
      </w:r>
    </w:p>
    <w:p w14:paraId="0057899D">
      <w:pPr>
        <w:pStyle w:val="2"/>
        <w:rPr>
          <w:sz w:val="44"/>
          <w:szCs w:val="44"/>
        </w:rPr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347"/>
        <w:gridCol w:w="2782"/>
        <w:gridCol w:w="1758"/>
        <w:gridCol w:w="3072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2025年05月08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435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2025年05月08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~13日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79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4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74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25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05月08日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bookmarkStart w:id="0" w:name="_GoBack"/>
            <w:bookmarkEnd w:id="0"/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3281"/>
        <w:gridCol w:w="3284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68B水-250508-2#-1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18.8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68B水-250508-2#-2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6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66" w:type="pct"/>
            <w:tcBorders>
              <w:tl2br w:val="nil"/>
              <w:tr2bl w:val="nil"/>
            </w:tcBorders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68B水-250508-2#-3</w:t>
            </w:r>
          </w:p>
        </w:tc>
        <w:tc>
          <w:tcPr>
            <w:tcW w:w="1667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18.8</w:t>
            </w:r>
          </w:p>
        </w:tc>
      </w:tr>
    </w:tbl>
    <w:p w14:paraId="09049090">
      <w:pPr>
        <w:pStyle w:val="5"/>
        <w:rPr>
          <w:rFonts w:hint="eastAsia"/>
        </w:rPr>
      </w:pPr>
    </w:p>
    <w:p w14:paraId="14BB46D0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6724">
    <w:pPr>
      <w:pStyle w:val="8"/>
      <w:jc w:val="left"/>
      <w:rPr>
        <w:rFonts w:hint="default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ZNJC/2025-0068B0503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873D0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1D77EBE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A9C6725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63284C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389049C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706</Words>
  <Characters>871</Characters>
  <Lines>15</Lines>
  <Paragraphs>4</Paragraphs>
  <TotalTime>4</TotalTime>
  <ScaleCrop>false</ScaleCrop>
  <LinksUpToDate>false</LinksUpToDate>
  <CharactersWithSpaces>1093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zhang</cp:lastModifiedBy>
  <cp:lastPrinted>2024-08-27T08:25:00Z</cp:lastPrinted>
  <dcterms:modified xsi:type="dcterms:W3CDTF">2025-06-10T02:18:47Z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B3F184E653E54B60BC56C8B5F637998F_13</vt:lpwstr>
  </property>
  <property fmtid="{D5CDD505-2E9C-101B-9397-08002B2CF9AE}" pid="4" name="KSOTemplateDocerSaveRecord">
    <vt:lpwstr>eyJoZGlkIjoiOTBmOTI1MWY0OTBiNzE0NGFmYjNjNWZjZWRjYWNjMWYiLCJ1c2VySWQiOiIzMjgxMzk0MTMifQ==</vt:lpwstr>
  </property>
</Properties>
</file>